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053/04 vom 8. September 2004</w:t>
      </w:r>
    </w:p>
    <w:p>
      <w:r>
        <w:t>Bundesstrafgericht, 2004-09-08, DE</w:t>
      </w:r>
    </w:p>
    <w:p>
      <w:r>
        <w:rPr>
          <w:b/>
        </w:rPr>
        <w:t xml:space="preserve">Quelle: </w:t>
      </w:r>
      <w:r>
        <w:t>https://mcp.opencaselaw.ch/entscheid/bstger_BK_B 053_04</w:t>
      </w:r>
    </w:p>
    <w:p>
      <w:r>
        <w:t>FR: TPF BK_B 053/04 du 8 septembre 2004</w:t>
      </w:r>
    </w:p>
    <w:p>
      <w:r>
        <w:t>IT: TPF BK_B 053/04 del 8 settembre 2004</w:t>
      </w:r>
    </w:p>
    <w:p>
      <w:pPr>
        <w:pStyle w:val="Heading2"/>
      </w:pPr>
      <w:r>
        <w:t>Regeste</w:t>
      </w:r>
    </w:p>
    <w:p>
      <w:r>
        <w:t>Antrag auf Entsiegelung (Art. 69 BStP)</w:t>
      </w:r>
    </w:p>
    <w:p>
      <w:pPr>
        <w:pStyle w:val="Heading2"/>
      </w:pPr>
      <w:r>
        <w:t>Erwägungen</w:t>
      </w:r>
    </w:p>
    <w:p>
      <w:r>
        <w:rPr>
          <w:b/>
        </w:rPr>
        <w:t>E. 1</w:t>
      </w:r>
    </w:p>
    <w:p>
      <w:r>
        <w:t>Gemäss Art. 69 Abs. 3 BStP sind beschlagnahmte Papiere zu versiegeln und zu verwahren, wenn der betroffene Inhaber der Papiere Einsprache gegen deren Durchsuchung erhebt. Mit der Siegelung entsteht ein suspen- siv bedingtes Verwertungsverbot (HAUSER/SCHWERI, Schweizerisches Strafprozessrecht, 5. Aufl., Basel 2002, § 70 N 21), das solange besteht, als die zuständige gerichtliche Behörde nicht über die Zulässigkeit der Durchsuchung entschieden hat (Entscheid über die Entsiegelung). Für die- sen Entscheid ist im gegenwärtigen Verfahrensstadium die Beschwerde- kammer des Bundesstrafgerichts zuständig (Art. 69 Abs. 3 Satz 3 BStP).</w:t>
      </w:r>
    </w:p>
    <w:p>
      <w:r>
        <w:rPr>
          <w:b/>
        </w:rPr>
        <w:t>E. 2.1</w:t>
      </w:r>
    </w:p>
    <w:p>
      <w:r>
        <w:t>Beschlagnahmte Papiere sollen nur dann durchsucht werden, wenn anzu- nehmen ist, dass sich Schriften darunter befinden, die für die Untersuchung von Bedeutung sind (Art. 69 Abs. 2 BStP), und ein hinreichender Tatver- dacht besteht (Urteil der Anklagekammer des Bundesgerichts 8G.42/2003 vom 14. Mai 2003 E. 3 mit Hinweis auf BGE 106 IV 413, 418 E. 4). Der Be- troffene kann der Entsiegelung und damit der Durchsuchung beschlag- nahmter Papiere ein Recht auf Geheimhaltung im Sinne eines Berufsge- heimnisses entgegenhalten (Art. 77 BStP i.V.m. Art. 69 Abs. 1 BStP). Pri- vatgeheimnisse sind in grösstmöglicher Weise zu schonen, und dem Be- troffenen ist vor der Durchsuchung Gelegenheit zu geben, sich über den Inhalt der Unterlagen auszusprechen (Art. 69 Abs. 1 und Abs. 3 Satz 1 BStP).</w:t>
      </w:r>
    </w:p>
    <w:p>
      <w:r>
        <w:rPr>
          <w:b/>
        </w:rPr>
        <w:t>E. 2.2</w:t>
      </w:r>
    </w:p>
    <w:p>
      <w:r>
        <w:t>Im vorliegenden Verfahren ist nur noch über die Entsiegelung folgender Gegenstände zu befinden: ein blauer Ordner „B.______“; ein Laptop mit ei- ner CD-ROM, acht Disketten und ein – vermutlich elektronische Speicher- medien enthaltender – Plastikbehälter; eine Agenda metallic-silber; ein orangefarbenes Natel Nokia mit SIM-Karte (vgl. BK act. 7 und 9).</w:t>
      </w:r>
    </w:p>
    <w:p>
      <w:r>
        <w:rPr>
          <w:b/>
        </w:rPr>
        <w:t>E. 2.2.1</w:t>
      </w:r>
    </w:p>
    <w:p>
      <w:r>
        <w:t>Der Gesuchsgegner wendet zunächst in genereller Weise ein, die versie- gelten Gegenstände seien wahllos und ohne konkreten, nachvollziehbaren Bezug auf ein Delikt und in Verletzung von Art. 67 Abs. 3 BStP zur Nacht- zeit beschlagnahmt worden. Im Übrigen seien die zu beschlagnahmenden Beweismittel im Durchsuchungsbefehl nicht konkretisiert worden. Vor der Entsiegelung müsse ihm zumindest Gelegenheit gegeben werden, sich zum Inhalt der Papiere und Speichermedien zu äussern, um der gesetzlich vorgeschriebenen, grössten Schonung von Privatgeheimnissen Rechnung</w:t>
      </w:r>
    </w:p>
    <w:p>
      <w:r>
        <w:t>- 4 -</w:t>
      </w:r>
    </w:p>
    <w:p>
      <w:r>
        <w:t>zu tragen. So dürften private Unterlagen wie die Korrespondenz mit seiner Krankenkasse nicht gesichtet werden. Zu Recht weist die Bundesanwaltschaft darauf hin, dass vor einer Haus- durchsuchung nicht bekannt sei, welches Beweismaterial sich im Herr- schaftsbereich des Betroffenen befinde, weshalb das sicherzustellende Ma- terial im Hausdurchsuchsuchungsbefehl nicht detailliert habe umschrieben werden können. Es kommt hinzu, dass im Voraus häufig auch nicht be- stimmt werden kann, welches Material als Beweismittel für den geltend gemachten – und in casu nicht streitigen – dringenden Tatverdacht über- haupt dienen kann. Soweit der Gesuchsgegner geltend macht, die Hausdurchsuchung sei zu Unrecht zur Nachtzeit erfolgt, ist sein Einwand vorliegend unbegründet: Art. 67 Abs. 3 BStP erlaubt zwar nächtliche Hausdurchsuchungen nur bei dringender Gefahr. Diese Ordnungsvorschrift schützt das Privatleben und die Privatsphäre zur Nachtzeit, jedoch nicht die Verteidigungsrechte eines Angeschuldigten. Sie soll lediglich sicherstellen, dass der Betroffene nicht ohne Not in der Nachtruhe gestört wird. Ihre allfällige Verletzung könnte zwar mit Beschwerde gerügt werden, sie würde aber nicht zu einem Ver- wertungsverbot bezüglich zur Nachtzeit zwangsweise erhobener Beweis- mittel führen. Im Übrigen gibt es vorliegend keine Hinweise darauf, dass die Strafverfolgungsbehörden die Hausdurchsuchung im Rahmen einer gross angelegten Aktion aus polizeitaktischen Gründen zu Unrecht zur Nachtzeit durchgeführt hätten.</w:t>
      </w:r>
    </w:p>
    <w:p>
      <w:r>
        <w:rPr>
          <w:b/>
        </w:rPr>
        <w:t>E. 2.2.2</w:t>
      </w:r>
    </w:p>
    <w:p>
      <w:r>
        <w:t>Im Weiteren opponiert der Gesuchsgegner bezüglich der Entsiegelung des Laptops und der elektronischen Speichermedien zwar nicht grundsätzlich, hingegen wendet er ein, dass die dort gespeicherte E-Mail-Korrespondenz nicht eingesehen werden dürfe, da es sich dabei um eine Überwachung des Fernmeldeverkehrs im Sinne des Bundesgesetzes vom 6. Oktober 2000 betreffend die Überwachung des Post- und Fernmeldeverkehrs (BÜPF; SR 780.1) handeln würde. Die vorgeschriebenen Bewilligungen für solche Überwachungsmassnahmen seien von der Bundesanwaltschaft we- der beantragt noch von einem Gericht je erteilt worden. Dasselbe gelte für die auf dem sichergestellten orangefarbenen Natel Nokia bzw. dessen SIM- Karte gespeicherten Daten. Die Einwendungen sind unbegründet. Das BÜPF hat nicht alle Ermittlungs- handlungen im Bereich der postalischen, telefonischen oder elektronischen Kommunikation zum Gegenstand, sondern grundsätzlich nur die geheimen, das heisst die dem Betroffenen verborgenen Überwachungs- und Ermitt- lungsmassnahmen (vgl. Botschaft vom 1. Juli 1998 zu den Bundesgeset-</w:t>
      </w:r>
    </w:p>
    <w:p>
      <w:r>
        <w:t>- 5 -</w:t>
      </w:r>
    </w:p>
    <w:p>
      <w:r>
        <w:t>zen betreffend die Überwachung des Post- und Fernmeldeverkehrs und über die verdeckte Ermittlung, BBl 1998, S. 4245; siehe auch HANSJAKOB, BÜPF/VÜPF, Kommentar zum Bundesgesetz und zur Verordnung über die Überwachung des Post- und Fernmeldeverkehrs, St. Gallen 2002, S. 66 ff.; vgl. auch Art. 179bis und 179octies StGB). So fällt etwa auch die nachträgliche Ermittlung so genannter Randdaten (Verbindungsnachweise, Absender- identifikation von elektronischer Post u.ä.) von in der Vergangenheit liegen- den Kommunikationsvorgängen unter die Genehmigungspflicht gemäss BÜPF, wenn der Betroffene nicht darum weiss (vgl. z.B. BGE 126 I 50). Ist er über die geplante Ermittlungsmassnahme im Bild, erfolgt sie jedoch oh- ne sein Einverständnis, so ist ebenfalls eine nach dem Verfahren des BÜPF zu erwirkende richterliche Genehmigung erforderlich, wenn die Da- ten beim einem Dritten, der dem Post- und Telekommunikationsgeheimnis untersteht (Post, Telefongesellschaft, Provider u.ä), erhoben werden sollen. Telekommunikationsgesellschaften sind nur berechtigt, Informationen über den Telekommunikationsverkehr zu edieren, wenn der Betroffene sein Ein- verständnis gibt oder wenn eine richterliche Genehmigung vorliegt. In der hier zu beurteilenden Konstellation soll die von der Bundesanwaltschaft beantragte Sichtung der versiegelten elektronischen Datenträger weder ohne Wissen des Gesuchsgegners erfolgen noch muss für die Erhebung der Daten auf die Datensammlung eines dem Post- und Fernmeldege- heimnis unterstehenden Dritten zurückgegriffen werden. Es handelt sich al- lein um beim Gesuchsgegner beschlagnahmte, auf elektronischen Daten- trägern gespeicherte Daten, die ohne weiteres auch in Papierform vorlie- gen könnten: im Natel-Telefonbuch gespeicherte Telefonnummern und Verbindungsnachweise, elektronisch versandte und empfangene Mails und ähnliches. Deren Erhebung, Sichtung und Verwertung untersteht allein den üblichen, die Verwertung von Beschlagnahmegut betreffenden strafprozes- sualen Regeln, nicht jedoch dem Bundesgesetz über die Überwachung des Post- und Fernmeldeverkehrs (so auch HANSJAKOB, a.a.O., S. 69).</w:t>
      </w:r>
    </w:p>
    <w:p>
      <w:r>
        <w:rPr>
          <w:b/>
        </w:rPr>
        <w:t>E. 2.2.3</w:t>
      </w:r>
    </w:p>
    <w:p>
      <w:r>
        <w:t>Schliesslich bringt der Gesuchsgegner vor, die beschlagnahmte Agenda metallic-silber aus dem Jahre 1998 dürfe nicht eingesehen werden, da die Einträge keinerlei Bezug zum hängigen Strafverfahren hätten. Dasselbe scheint er für den blauen Ordner „B.______“ geltend zu machen. Ob ein solcher Bezug besteht, ist allein von den Strafverfolgungsbehörden zu ent- scheiden, was erst nach Sichtung der Agenda und des Ordners möglich sein wird. Private Unterlagen (wie etwa die Korrespondenz des Gesuchs- gegners mit seiner Krankenkasse), sind – wenn sie keinerlei Bezug zum Verfahren haben – für dieses nicht von Belang und werden dem Gesuchs- gegner deshalb herauszugeben sein.</w:t>
      </w:r>
    </w:p>
    <w:p>
      <w:r>
        <w:t>- 6 -</w:t>
      </w:r>
    </w:p>
    <w:p>
      <w:r>
        <w:rPr>
          <w:b/>
        </w:rPr>
        <w:t>E. 3</w:t>
      </w:r>
    </w:p>
    <w:p>
      <w:r>
        <w:t>Der Gesuchsgegner macht kein über die prozessualen, hier nicht anwend- baren Regeln des BÜPF hinausgehendes Recht auf Geheimhaltung gel- tend (etwa im Sinne von Art. 77 i.V.m. Art. 69 Abs. 1 BStP) – ein solches wäre auch nicht ersichtlich. Die Wahrung von Privatgeheimnissen steht ei- ner Entsiegelung von Beschlagnahmegut nicht grundsätzlich entgegen. Die Durchsuchung der versiegelten Unterlagen und Datenträger ist geeignet, zur Aufklärung des hier nicht streitigen Tatverdachts beizutragen und diese Durchsuchung genügt auch dem Grundsatz der Verhältnismässigkeit. Die Versiegelung der beschlagnahmten Unterlagen und Datenträger ist unter diesen Umständen antragsgemäss aufzuheben und die Bundesanwalt- schaft ist zu ermächtigen, diese unter Wahrung der gesetzlichen Vorgaben, das heisst in Anwesenheit und nach Anhörung des Gesuchsgegners und unter grösster Schonung seiner Privatgeheimnisse, zu entsiegeln und zu durchsuchen.</w:t>
      </w:r>
    </w:p>
    <w:p>
      <w:r>
        <w:rPr>
          <w:b/>
        </w:rPr>
        <w:t>E. 4</w:t>
      </w:r>
    </w:p>
    <w:p>
      <w:r>
        <w:t>Bei diesem Ausgang des Verfahrens hat der Gesuchsgegner die Kosten desselben zu tragen (Art. 245 BStP i.V.m. Art. 156 Abs. 1 OG). Es ist eine Gerichtsgebühr von Fr. 1’000.-- anzusetzen (Art. 3 des Reglements über die Gerichtsgebühren vor dem Bundesstrafgericht vom 11. Februar 2004, SR 173.711.32).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